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5F45" w14:textId="77777777" w:rsidR="005C1020" w:rsidRDefault="005C102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40FC92F" w14:textId="77777777" w:rsidR="005C1020" w:rsidRDefault="008A2B48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Katowice, dnia </w:t>
      </w:r>
      <w:r w:rsidR="00D85CB9">
        <w:rPr>
          <w:rFonts w:asciiTheme="minorHAnsi" w:hAnsiTheme="minorHAnsi" w:cstheme="minorHAnsi"/>
          <w:sz w:val="24"/>
          <w:szCs w:val="24"/>
        </w:rPr>
        <w:t>14</w:t>
      </w:r>
      <w:r>
        <w:rPr>
          <w:rFonts w:asciiTheme="minorHAnsi" w:hAnsiTheme="minorHAnsi" w:cstheme="minorHAnsi"/>
          <w:sz w:val="24"/>
          <w:szCs w:val="24"/>
        </w:rPr>
        <w:t>.05.2025 r.</w:t>
      </w:r>
    </w:p>
    <w:p w14:paraId="1CA5F83A" w14:textId="77777777" w:rsidR="005C1020" w:rsidRDefault="008A2B48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Znak sprawy: ZP.272.3.2025.DZ</w:t>
      </w:r>
    </w:p>
    <w:p w14:paraId="26308F21" w14:textId="77777777" w:rsidR="005C1020" w:rsidRDefault="005C102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2FEFB876" w14:textId="77777777" w:rsidR="005C1020" w:rsidRDefault="008A2B48">
      <w:pPr>
        <w:pStyle w:val="Akapitzlist"/>
        <w:spacing w:after="0" w:line="276" w:lineRule="auto"/>
        <w:ind w:left="0"/>
        <w:jc w:val="center"/>
        <w:rPr>
          <w:b/>
          <w:bCs/>
          <w:i/>
          <w:color w:val="000000"/>
          <w:sz w:val="24"/>
          <w:szCs w:val="24"/>
        </w:rPr>
      </w:pPr>
      <w:bookmarkStart w:id="1" w:name="_Hlk127204443"/>
      <w:bookmarkStart w:id="2" w:name="_Hlk189474591"/>
      <w:bookmarkStart w:id="3" w:name="_Hlk141694108"/>
      <w:r>
        <w:rPr>
          <w:rFonts w:cstheme="minorHAnsi"/>
          <w:sz w:val="24"/>
          <w:szCs w:val="24"/>
        </w:rPr>
        <w:t>Ogłoszenie o wyniku postępowania przeprowadzonego w trybie podstawowym bez przeprowadzenia negocjacji pn.:</w:t>
      </w:r>
      <w:r>
        <w:rPr>
          <w:rFonts w:cstheme="minorHAnsi"/>
          <w:b/>
          <w:bCs/>
          <w:sz w:val="24"/>
          <w:szCs w:val="24"/>
        </w:rPr>
        <w:t xml:space="preserve"> </w:t>
      </w:r>
      <w:bookmarkStart w:id="4" w:name="_Hlk197680137"/>
      <w:r>
        <w:rPr>
          <w:rFonts w:cstheme="minorHAnsi"/>
          <w:b/>
          <w:color w:val="000000"/>
          <w:sz w:val="24"/>
          <w:szCs w:val="24"/>
        </w:rPr>
        <w:t xml:space="preserve">Organizacja dwudniowej konferencji wraz z noclegiem i wyżywieniem, a także zaprojektowanie, wykonanie i dostawa materiałów promocyjnych na potrzeby konferencji nt. </w:t>
      </w:r>
      <w:bookmarkEnd w:id="1"/>
      <w:r>
        <w:rPr>
          <w:rFonts w:cstheme="minorHAnsi"/>
          <w:b/>
          <w:color w:val="000000"/>
          <w:sz w:val="24"/>
          <w:szCs w:val="24"/>
        </w:rPr>
        <w:t>promowania zasadności uczenia się przez całe życie, poprzez organizację wydarzeń: Konferencj</w:t>
      </w:r>
      <w:r>
        <w:rPr>
          <w:rFonts w:cstheme="minorHAnsi"/>
          <w:b/>
          <w:color w:val="000000"/>
          <w:sz w:val="24"/>
          <w:szCs w:val="24"/>
        </w:rPr>
        <w:t xml:space="preserve">a metodyczna dwudniowa dla osób prowadzących doradztwo zawodowe w województwie śląskim dla uczniów i osób dorosłych: </w:t>
      </w:r>
      <w:r>
        <w:rPr>
          <w:b/>
          <w:color w:val="000000"/>
          <w:sz w:val="24"/>
          <w:szCs w:val="24"/>
        </w:rPr>
        <w:t xml:space="preserve">w ramach zadania </w:t>
      </w:r>
      <w:r>
        <w:rPr>
          <w:b/>
          <w:i/>
          <w:color w:val="000000"/>
          <w:sz w:val="24"/>
          <w:szCs w:val="24"/>
        </w:rPr>
        <w:t>Krajowy Plan Odbudowy i Zwiększenia Odporności (KPO), Inwestycja A3.1. 1 Wsparcie rozwoju nowoczesnego kształcenia zawodow</w:t>
      </w:r>
      <w:r>
        <w:rPr>
          <w:b/>
          <w:i/>
          <w:color w:val="000000"/>
          <w:sz w:val="24"/>
          <w:szCs w:val="24"/>
        </w:rPr>
        <w:t>ego, szkolnictwa wyższego oraz uczenia się przez całe życie</w:t>
      </w:r>
      <w:r>
        <w:rPr>
          <w:b/>
          <w:color w:val="000000"/>
          <w:sz w:val="24"/>
          <w:szCs w:val="24"/>
        </w:rPr>
        <w:t xml:space="preserve">” – projekt pn. : </w:t>
      </w:r>
      <w:r>
        <w:rPr>
          <w:b/>
          <w:i/>
          <w:color w:val="000000"/>
          <w:sz w:val="24"/>
          <w:szCs w:val="24"/>
        </w:rPr>
        <w:t>„Zbudowanie systemu koordynacji i monitorowania regionalnych działań na rzecz kształcenia zawodowego, szkolnictwa wyższego oraz uczenia się przez całe życie, w tym uczenia się dor</w:t>
      </w:r>
      <w:r>
        <w:rPr>
          <w:b/>
          <w:i/>
          <w:color w:val="000000"/>
          <w:sz w:val="24"/>
          <w:szCs w:val="24"/>
        </w:rPr>
        <w:t>osłych”</w:t>
      </w:r>
      <w:bookmarkEnd w:id="2"/>
      <w:r>
        <w:rPr>
          <w:b/>
          <w:i/>
          <w:color w:val="000000"/>
          <w:sz w:val="24"/>
          <w:szCs w:val="24"/>
        </w:rPr>
        <w:t xml:space="preserve">, </w:t>
      </w:r>
      <w:r>
        <w:rPr>
          <w:rFonts w:eastAsia="F" w:cstheme="minorHAnsi"/>
          <w:i/>
          <w:iCs/>
          <w:sz w:val="24"/>
          <w:szCs w:val="24"/>
          <w:u w:val="single"/>
        </w:rPr>
        <w:t>zadanie 1:</w:t>
      </w:r>
      <w:r>
        <w:rPr>
          <w:rFonts w:eastAsia="F" w:cstheme="minorHAnsi"/>
          <w:b/>
          <w:bCs/>
          <w:sz w:val="24"/>
          <w:szCs w:val="24"/>
        </w:rPr>
        <w:t xml:space="preserve"> </w:t>
      </w:r>
      <w:bookmarkStart w:id="5" w:name="_Hlk127204443_kopia_1"/>
      <w:bookmarkEnd w:id="3"/>
      <w:r>
        <w:rPr>
          <w:rFonts w:eastAsia="F" w:cstheme="minorHAnsi"/>
          <w:b/>
          <w:bCs/>
          <w:sz w:val="24"/>
          <w:szCs w:val="24"/>
        </w:rPr>
        <w:t xml:space="preserve">Organizacja noclegu i wyżywienia na dwudniowej konferencji nt. </w:t>
      </w:r>
      <w:bookmarkEnd w:id="5"/>
      <w:r>
        <w:rPr>
          <w:rFonts w:eastAsia="F" w:cstheme="minorHAnsi"/>
          <w:b/>
          <w:bCs/>
          <w:sz w:val="24"/>
          <w:szCs w:val="24"/>
        </w:rPr>
        <w:t>promowania zasadności uczenia się przez całe życie, poprzez organizację wydarzeń: Konferencja metodyczna dwudniowa dla osób prowadzących doradztwo zawodowe w województwie śl</w:t>
      </w:r>
      <w:r>
        <w:rPr>
          <w:rFonts w:eastAsia="F" w:cstheme="minorHAnsi"/>
          <w:b/>
          <w:bCs/>
          <w:sz w:val="24"/>
          <w:szCs w:val="24"/>
        </w:rPr>
        <w:t>ąskim dla uczniów i osób dorosłych: w ramach zadania Krajowy Plan Odbudowy i Zwiększenia Odporności (KPO)</w:t>
      </w:r>
      <w:bookmarkEnd w:id="4"/>
    </w:p>
    <w:p w14:paraId="1A8447AF" w14:textId="77777777" w:rsidR="005C1020" w:rsidRDefault="005C1020">
      <w:pPr>
        <w:pStyle w:val="Akapitzlist"/>
        <w:spacing w:before="114" w:after="114" w:line="276" w:lineRule="auto"/>
        <w:ind w:left="0"/>
        <w:jc w:val="center"/>
        <w:rPr>
          <w:rFonts w:asciiTheme="minorHAnsi" w:eastAsia="F" w:hAnsiTheme="minorHAnsi" w:cstheme="minorHAnsi"/>
          <w:b/>
          <w:bCs/>
          <w:sz w:val="24"/>
          <w:szCs w:val="24"/>
        </w:rPr>
      </w:pPr>
    </w:p>
    <w:p w14:paraId="4EECB70F" w14:textId="0162F85E" w:rsidR="002907F5" w:rsidRDefault="002907F5" w:rsidP="002907F5">
      <w:pPr>
        <w:widowControl w:val="0"/>
        <w:jc w:val="both"/>
        <w:rPr>
          <w:rFonts w:eastAsia="NSimSun" w:cs="Calibri"/>
          <w:color w:val="000000"/>
          <w:kern w:val="3"/>
          <w:lang w:bidi="hi-IN"/>
        </w:rPr>
      </w:pPr>
      <w:bookmarkStart w:id="6" w:name="_Hlk197680158"/>
      <w:r w:rsidRPr="00827A03">
        <w:rPr>
          <w:rFonts w:eastAsia="NSimSun" w:cs="Calibri"/>
          <w:color w:val="000000"/>
          <w:kern w:val="3"/>
          <w:lang w:bidi="hi-IN"/>
        </w:rPr>
        <w:t>Zamawiający informuje, iż w wyniku ponownego badania i oceny ofert została wybrana oferta</w:t>
      </w:r>
      <w:r>
        <w:rPr>
          <w:rFonts w:eastAsia="NSimSun" w:cs="Calibri"/>
          <w:color w:val="000000"/>
          <w:kern w:val="3"/>
          <w:lang w:bidi="hi-IN"/>
        </w:rPr>
        <w:t xml:space="preserve"> </w:t>
      </w:r>
      <w:r w:rsidRPr="00827A03">
        <w:rPr>
          <w:rFonts w:eastAsia="NSimSun" w:cs="Calibri"/>
          <w:color w:val="000000"/>
          <w:kern w:val="3"/>
          <w:lang w:bidi="hi-IN"/>
        </w:rPr>
        <w:t>Wykonawcy:</w:t>
      </w:r>
    </w:p>
    <w:p w14:paraId="728B3DAE" w14:textId="77777777" w:rsidR="002907F5" w:rsidRDefault="002907F5">
      <w:pPr>
        <w:widowControl w:val="0"/>
        <w:jc w:val="center"/>
        <w:rPr>
          <w:rFonts w:eastAsia="NSimSun" w:cs="Calibri"/>
          <w:color w:val="000000"/>
          <w:kern w:val="3"/>
          <w:lang w:bidi="hi-IN"/>
        </w:rPr>
      </w:pPr>
    </w:p>
    <w:p w14:paraId="3356F482" w14:textId="6A379CE7" w:rsidR="005C1020" w:rsidRDefault="008A2B48">
      <w:pPr>
        <w:widowControl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Pod Jedlami Sp. Z O.O. </w:t>
      </w:r>
    </w:p>
    <w:p w14:paraId="29EEE36A" w14:textId="77777777" w:rsidR="005C1020" w:rsidRDefault="008A2B48">
      <w:pPr>
        <w:widowControl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Ul. Cieszyńska 23 G</w:t>
      </w:r>
    </w:p>
    <w:p w14:paraId="4C971839" w14:textId="77777777" w:rsidR="005C1020" w:rsidRDefault="008A2B48">
      <w:pPr>
        <w:widowControl w:val="0"/>
        <w:jc w:val="center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43-170 Łaziska Górne</w:t>
      </w:r>
    </w:p>
    <w:p w14:paraId="5B891DD2" w14:textId="77777777" w:rsidR="005C1020" w:rsidRDefault="005C1020">
      <w:pPr>
        <w:widowControl w:val="0"/>
        <w:jc w:val="both"/>
        <w:rPr>
          <w:rFonts w:ascii="Calibri" w:hAnsi="Calibri" w:cstheme="minorHAnsi"/>
          <w:b/>
          <w:bCs/>
          <w:sz w:val="24"/>
          <w:szCs w:val="24"/>
        </w:rPr>
      </w:pPr>
    </w:p>
    <w:p w14:paraId="3649D655" w14:textId="77777777" w:rsidR="005C1020" w:rsidRDefault="008A2B48">
      <w:pPr>
        <w:widowControl w:val="0"/>
        <w:jc w:val="both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 xml:space="preserve">za następującą cenę brutto: </w:t>
      </w:r>
      <w:r>
        <w:rPr>
          <w:rFonts w:asciiTheme="minorHAnsi" w:hAnsiTheme="minorHAnsi" w:cstheme="minorHAnsi"/>
          <w:b/>
          <w:bCs/>
          <w:sz w:val="24"/>
          <w:szCs w:val="24"/>
        </w:rPr>
        <w:t>32 397,95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b/>
          <w:bCs/>
          <w:sz w:val="24"/>
          <w:szCs w:val="24"/>
        </w:rPr>
        <w:t>zł.</w:t>
      </w:r>
    </w:p>
    <w:p w14:paraId="49B05AF0" w14:textId="77777777" w:rsidR="00D85CB9" w:rsidRDefault="00D85CB9">
      <w:pPr>
        <w:widowControl w:val="0"/>
        <w:jc w:val="both"/>
        <w:rPr>
          <w:rFonts w:ascii="Calibri" w:hAnsi="Calibri" w:cstheme="minorHAnsi"/>
          <w:b/>
          <w:bCs/>
          <w:sz w:val="24"/>
          <w:szCs w:val="24"/>
        </w:rPr>
      </w:pPr>
    </w:p>
    <w:p w14:paraId="0D9D7DC9" w14:textId="77777777" w:rsidR="005C1020" w:rsidRDefault="00D85CB9" w:rsidP="00D85CB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6DEF3E44" w14:textId="77777777" w:rsidR="00D85CB9" w:rsidRPr="00D85CB9" w:rsidRDefault="00D85CB9" w:rsidP="00D85CB9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5CB9">
        <w:rPr>
          <w:rFonts w:ascii="Calibri" w:hAnsi="Calibri" w:cstheme="minorHAnsi"/>
          <w:sz w:val="24"/>
          <w:szCs w:val="24"/>
        </w:rPr>
        <w:t xml:space="preserve">Zamawiający po dokonaniu w dniu 09.05.2025r. czynności oceny i wyboru oferty najkorzystniejszej w przedmiotowym postępowaniu stwierdził, iż zaniechał wezwania Wykonawcy, którego oferta została najwyżej oceniona do złożenia podmiotowych środków dowodowych wskazanych w rozdziale IV pkt 2 SWZ. Tym samym zaistniała przesłanka do unieważnienia czynności wyboru najkorzystniejszej oferty. Zamawiający na podstawie art. 16 i 17 </w:t>
      </w:r>
      <w:r w:rsidRPr="00D85CB9">
        <w:rPr>
          <w:rFonts w:asciiTheme="minorHAnsi" w:hAnsiTheme="minorHAnsi" w:cstheme="minorHAnsi"/>
          <w:sz w:val="24"/>
          <w:szCs w:val="24"/>
        </w:rPr>
        <w:t>ust. 2 ustawy z dnia 11 września 2019 r. Prawo zamówień publicznych (</w:t>
      </w:r>
      <w:proofErr w:type="spellStart"/>
      <w:r w:rsidRPr="00D85CB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85CB9">
        <w:rPr>
          <w:rFonts w:asciiTheme="minorHAnsi" w:hAnsiTheme="minorHAnsi" w:cstheme="minorHAnsi"/>
          <w:sz w:val="24"/>
          <w:szCs w:val="24"/>
        </w:rPr>
        <w:t xml:space="preserve">. Dz. U. z 2024 r. poz. 1320 ze zm.) </w:t>
      </w:r>
      <w:r w:rsidRPr="00D85CB9">
        <w:rPr>
          <w:rFonts w:ascii="Calibri" w:hAnsi="Calibri" w:cstheme="minorHAnsi"/>
          <w:sz w:val="24"/>
          <w:szCs w:val="24"/>
        </w:rPr>
        <w:t>podjął decyzje o powtórzeniu czynności oceny i badania ofert i dokonał ponownego wyboru najkorzystniejszej oferty.</w:t>
      </w:r>
    </w:p>
    <w:p w14:paraId="0E34A407" w14:textId="77777777" w:rsidR="005C1020" w:rsidRDefault="008A2B48" w:rsidP="00D85CB9">
      <w:pPr>
        <w:widowControl w:val="0"/>
        <w:spacing w:before="57" w:after="57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5CB9">
        <w:rPr>
          <w:rFonts w:asciiTheme="minorHAnsi" w:hAnsiTheme="minorHAnsi" w:cstheme="minorHAnsi"/>
          <w:sz w:val="24"/>
          <w:szCs w:val="24"/>
        </w:rPr>
        <w:t>Uzasadnienie wyboru: oferta jest ofertą</w:t>
      </w:r>
      <w:r w:rsidRPr="00D85CB9">
        <w:rPr>
          <w:rFonts w:asciiTheme="minorHAnsi" w:hAnsiTheme="minorHAnsi" w:cstheme="minorHAnsi"/>
          <w:sz w:val="24"/>
          <w:szCs w:val="24"/>
        </w:rPr>
        <w:t xml:space="preserve"> najkorzystniejszą. Za spełnienie kryterium "cena" Wykonawca uzyskał 60 punktów, za spełnienie kryterium „liczba gwiazdek posiadanych przez hotel” Wykonawca uzyskał 0 punktów, Za spełnienie kryterium "m</w:t>
      </w:r>
      <w:r w:rsidRPr="00D85CB9">
        <w:rPr>
          <w:rFonts w:asciiTheme="minorHAnsi" w:hAnsiTheme="minorHAnsi" w:cstheme="minorHAnsi"/>
          <w:sz w:val="24"/>
          <w:szCs w:val="24"/>
          <w:u w:color="000000"/>
        </w:rPr>
        <w:t>ożliwość wcześniejszego zameldowania</w:t>
      </w:r>
      <w:r w:rsidRPr="00D85CB9">
        <w:rPr>
          <w:rFonts w:asciiTheme="minorHAnsi" w:hAnsiTheme="minorHAnsi" w:cstheme="minorHAnsi"/>
          <w:sz w:val="24"/>
          <w:szCs w:val="24"/>
        </w:rPr>
        <w:t>" Wykonawca uzyska</w:t>
      </w:r>
      <w:r w:rsidRPr="00D85CB9">
        <w:rPr>
          <w:rFonts w:asciiTheme="minorHAnsi" w:hAnsiTheme="minorHAnsi" w:cstheme="minorHAnsi"/>
          <w:sz w:val="24"/>
          <w:szCs w:val="24"/>
        </w:rPr>
        <w:t xml:space="preserve">ł 20 punktów. Po zastosowaniu wzoru z rozdziału XI SWZ Wykonawca łącznie uzyskał 80 punktów. </w:t>
      </w:r>
      <w:bookmarkEnd w:id="6"/>
    </w:p>
    <w:p w14:paraId="70A1FE70" w14:textId="77777777" w:rsidR="0081052A" w:rsidRDefault="0081052A" w:rsidP="00D85CB9">
      <w:pPr>
        <w:widowControl w:val="0"/>
        <w:spacing w:before="57" w:after="57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85549F" w14:textId="77777777" w:rsidR="00D85CB9" w:rsidRPr="00D85CB9" w:rsidRDefault="00D85CB9" w:rsidP="00D85CB9">
      <w:pPr>
        <w:widowControl w:val="0"/>
        <w:spacing w:before="57" w:after="57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0C1474" w14:textId="77777777" w:rsidR="005C1020" w:rsidRDefault="005C1020">
      <w:pPr>
        <w:widowControl w:val="0"/>
        <w:spacing w:before="57" w:after="57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7984ED" w14:textId="77777777" w:rsidR="005C1020" w:rsidRDefault="008A2B48">
      <w:pPr>
        <w:pStyle w:val="Normalny2"/>
        <w:tabs>
          <w:tab w:val="right" w:pos="9070"/>
        </w:tabs>
        <w:spacing w:line="276" w:lineRule="auto"/>
        <w:jc w:val="both"/>
        <w:rPr>
          <w:rStyle w:val="Domylnaczcionkaakapitu1"/>
          <w:rFonts w:asciiTheme="minorHAnsi" w:hAnsiTheme="minorHAnsi" w:cstheme="minorHAnsi"/>
        </w:rPr>
      </w:pPr>
      <w:r>
        <w:rPr>
          <w:rStyle w:val="Domylnaczcionkaakapitu1"/>
          <w:rFonts w:asciiTheme="minorHAnsi" w:hAnsiTheme="minorHAnsi" w:cstheme="minorHAnsi"/>
        </w:rPr>
        <w:t>Zamawiający informuje, iż w postępowaniu na w/w zadanie złożono następujące oferty:</w:t>
      </w:r>
    </w:p>
    <w:p w14:paraId="7CED4951" w14:textId="77777777" w:rsidR="005C1020" w:rsidRDefault="008A2B48">
      <w:pPr>
        <w:pStyle w:val="Normalny2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7" w:name="_Hlk197680177"/>
      <w:r>
        <w:rPr>
          <w:rFonts w:asciiTheme="minorHAnsi" w:hAnsiTheme="minorHAnsi" w:cstheme="minorHAnsi"/>
          <w:color w:val="000000"/>
        </w:rPr>
        <w:t>Pod Jedlami Sp. Z O.O., Ul. Cieszyńska 23 G, 43-170 Łaziska Górne;</w:t>
      </w:r>
    </w:p>
    <w:p w14:paraId="3622A4BC" w14:textId="77777777" w:rsidR="005C1020" w:rsidRPr="00D85CB9" w:rsidRDefault="008A2B48" w:rsidP="00D85CB9">
      <w:pPr>
        <w:pStyle w:val="Normalny2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Konsorcjum: </w:t>
      </w:r>
      <w:r>
        <w:rPr>
          <w:rFonts w:asciiTheme="minorHAnsi" w:hAnsiTheme="minorHAnsi" w:cstheme="minorHAnsi"/>
          <w:i/>
          <w:iCs/>
        </w:rPr>
        <w:t>Lider Konsorcjum</w:t>
      </w:r>
      <w:r>
        <w:rPr>
          <w:rFonts w:asciiTheme="minorHAnsi" w:hAnsiTheme="minorHAnsi" w:cstheme="minorHAnsi"/>
        </w:rPr>
        <w:t xml:space="preserve">: Perfect Image Jolanta Gogolewska-Kosińska LIDER ul. Foksal 16/5, 00-372 Warszawa, </w:t>
      </w:r>
      <w:r>
        <w:rPr>
          <w:rFonts w:asciiTheme="minorHAnsi" w:hAnsiTheme="minorHAnsi" w:cstheme="minorHAnsi"/>
          <w:i/>
          <w:iCs/>
        </w:rPr>
        <w:t>Członek konsorcjum:</w:t>
      </w:r>
      <w:r>
        <w:rPr>
          <w:rFonts w:asciiTheme="minorHAnsi" w:hAnsiTheme="minorHAnsi" w:cstheme="minorHAnsi"/>
        </w:rPr>
        <w:t xml:space="preserve"> Perfect Image Karolina Pawlińska ul. Syta 92K lok. 76, 02-993 Warszawa. Za spełnienie kryterium "cena" Wykonawca uzyskał 21,</w:t>
      </w:r>
      <w:r>
        <w:rPr>
          <w:rFonts w:asciiTheme="minorHAnsi" w:hAnsiTheme="minorHAnsi" w:cstheme="minorHAnsi"/>
        </w:rPr>
        <w:t>77 punktów, za spełnienie kryterium „liczba gwiazdek posiadanych przez hotel” Wykonawca uzyskał 10 punktów, za spełnienie kryterium "m</w:t>
      </w:r>
      <w:r>
        <w:rPr>
          <w:rFonts w:asciiTheme="minorHAnsi" w:hAnsiTheme="minorHAnsi" w:cstheme="minorHAnsi"/>
          <w:u w:color="000000"/>
        </w:rPr>
        <w:t>ożliwość wcześniejszego zameldowania</w:t>
      </w:r>
      <w:r>
        <w:rPr>
          <w:rFonts w:asciiTheme="minorHAnsi" w:hAnsiTheme="minorHAnsi" w:cstheme="minorHAnsi"/>
        </w:rPr>
        <w:t>" Wykonawca uzyskał 20 punktów. Po zastosowaniu wzoru z rozdziału XI SWZ Wykonawca łąc</w:t>
      </w:r>
      <w:r>
        <w:rPr>
          <w:rFonts w:asciiTheme="minorHAnsi" w:hAnsiTheme="minorHAnsi" w:cstheme="minorHAnsi"/>
        </w:rPr>
        <w:t xml:space="preserve">znie uzyskał 51,77 punktów. </w:t>
      </w:r>
    </w:p>
    <w:p w14:paraId="6A1680F5" w14:textId="77777777" w:rsidR="005C1020" w:rsidRDefault="008A2B48">
      <w:pPr>
        <w:pStyle w:val="Normalny2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Sun&amp;More</w:t>
      </w:r>
      <w:proofErr w:type="spellEnd"/>
      <w:r>
        <w:rPr>
          <w:rFonts w:asciiTheme="minorHAnsi" w:hAnsiTheme="minorHAnsi" w:cstheme="minorHAnsi"/>
        </w:rPr>
        <w:t xml:space="preserve"> Sp. z o.o. ul. Madalińskiego 8 lok. 215 70-101 Szczecin, NIP 8513151613. Za spełnienie kryterium "cena" Wykonawca uzyskał 28,67 punktów, za spełnienie kryterium „liczba gwiazdek posiadanych przez hotel” Wykonawca uzysk</w:t>
      </w:r>
      <w:r>
        <w:rPr>
          <w:rFonts w:asciiTheme="minorHAnsi" w:hAnsiTheme="minorHAnsi" w:cstheme="minorHAnsi"/>
        </w:rPr>
        <w:t>ał 10 punktów, za spełnienie kryterium "m</w:t>
      </w:r>
      <w:r>
        <w:rPr>
          <w:rFonts w:asciiTheme="minorHAnsi" w:hAnsiTheme="minorHAnsi" w:cstheme="minorHAnsi"/>
          <w:u w:color="000000"/>
        </w:rPr>
        <w:t>ożliwość wcześniejszego zameldowania</w:t>
      </w:r>
      <w:r>
        <w:rPr>
          <w:rFonts w:asciiTheme="minorHAnsi" w:hAnsiTheme="minorHAnsi" w:cstheme="minorHAnsi"/>
        </w:rPr>
        <w:t>" Wykonawca uzyskał 0 punktów. Po zastosowaniu wzoru z rozdziału XI SWZ Wykonawca łącznie uzyskał 38,67 punktów.</w:t>
      </w:r>
    </w:p>
    <w:p w14:paraId="7C5E2DD6" w14:textId="77777777" w:rsidR="005C1020" w:rsidRDefault="008A2B48">
      <w:pPr>
        <w:pStyle w:val="Normalny2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Modern </w:t>
      </w:r>
      <w:proofErr w:type="spellStart"/>
      <w:r>
        <w:rPr>
          <w:rFonts w:asciiTheme="minorHAnsi" w:hAnsiTheme="minorHAnsi" w:cstheme="minorHAnsi"/>
        </w:rPr>
        <w:t>Events</w:t>
      </w:r>
      <w:proofErr w:type="spellEnd"/>
      <w:r>
        <w:rPr>
          <w:rFonts w:asciiTheme="minorHAnsi" w:hAnsiTheme="minorHAnsi" w:cstheme="minorHAnsi"/>
        </w:rPr>
        <w:t xml:space="preserve"> Magdalena </w:t>
      </w:r>
      <w:proofErr w:type="spellStart"/>
      <w:r>
        <w:rPr>
          <w:rFonts w:asciiTheme="minorHAnsi" w:hAnsiTheme="minorHAnsi" w:cstheme="minorHAnsi"/>
        </w:rPr>
        <w:t>Gęca</w:t>
      </w:r>
      <w:proofErr w:type="spellEnd"/>
      <w:r>
        <w:rPr>
          <w:rFonts w:asciiTheme="minorHAnsi" w:hAnsiTheme="minorHAnsi" w:cstheme="minorHAnsi"/>
        </w:rPr>
        <w:t xml:space="preserve"> Ul. Długa 29, 00-238 Warszawa. Za spełnienie kryterium "cena" Wykonawca uzyskał 28,21 punktów, za spełnienie kryterium „liczba gwiazdek posiadanych przez hotel” Wykonawca uzyskał 10 punktów, za spełnienie kryterium "m</w:t>
      </w:r>
      <w:r>
        <w:rPr>
          <w:rFonts w:asciiTheme="minorHAnsi" w:hAnsiTheme="minorHAnsi" w:cstheme="minorHAnsi"/>
          <w:u w:color="000000"/>
        </w:rPr>
        <w:t>ożliwość wcześniejszego zameldowania</w:t>
      </w:r>
      <w:r>
        <w:rPr>
          <w:rFonts w:asciiTheme="minorHAnsi" w:hAnsiTheme="minorHAnsi" w:cstheme="minorHAnsi"/>
        </w:rPr>
        <w:t xml:space="preserve">" </w:t>
      </w:r>
      <w:r>
        <w:rPr>
          <w:rFonts w:asciiTheme="minorHAnsi" w:hAnsiTheme="minorHAnsi" w:cstheme="minorHAnsi"/>
        </w:rPr>
        <w:t>Wykonawca uzyskał 0 punktów. Po zastosowaniu wzoru z rozdziału XI SWZ Wykonawca łącznie uzyskał 38,21 punktów.</w:t>
      </w:r>
      <w:r>
        <w:rPr>
          <w:rFonts w:asciiTheme="minorHAnsi" w:hAnsiTheme="minorHAnsi" w:cstheme="minorHAnsi"/>
        </w:rPr>
        <w:tab/>
      </w:r>
    </w:p>
    <w:p w14:paraId="44116E17" w14:textId="77777777" w:rsidR="005C1020" w:rsidRDefault="008A2B48">
      <w:pPr>
        <w:pStyle w:val="Normalny2"/>
        <w:numPr>
          <w:ilvl w:val="0"/>
          <w:numId w:val="1"/>
        </w:numPr>
        <w:spacing w:line="276" w:lineRule="auto"/>
        <w:ind w:left="0" w:firstLine="0"/>
        <w:jc w:val="both"/>
        <w:rPr>
          <w:rStyle w:val="Domylnaczcionkaakapitu1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 </w:t>
      </w:r>
      <w:proofErr w:type="spellStart"/>
      <w:r>
        <w:rPr>
          <w:rFonts w:asciiTheme="minorHAnsi" w:hAnsiTheme="minorHAnsi" w:cstheme="minorHAnsi"/>
        </w:rPr>
        <w:t>Concept</w:t>
      </w:r>
      <w:proofErr w:type="spellEnd"/>
      <w:r>
        <w:rPr>
          <w:rFonts w:asciiTheme="minorHAnsi" w:hAnsiTheme="minorHAnsi" w:cstheme="minorHAnsi"/>
        </w:rPr>
        <w:t xml:space="preserve"> Monika </w:t>
      </w:r>
      <w:proofErr w:type="spellStart"/>
      <w:r>
        <w:rPr>
          <w:rFonts w:asciiTheme="minorHAnsi" w:hAnsiTheme="minorHAnsi" w:cstheme="minorHAnsi"/>
        </w:rPr>
        <w:t>Dewerenda</w:t>
      </w:r>
      <w:proofErr w:type="spellEnd"/>
      <w:r>
        <w:rPr>
          <w:rFonts w:asciiTheme="minorHAnsi" w:hAnsiTheme="minorHAnsi" w:cstheme="minorHAnsi"/>
        </w:rPr>
        <w:t xml:space="preserve">-Biedroń, </w:t>
      </w:r>
      <w:r>
        <w:rPr>
          <w:rFonts w:asciiTheme="minorHAnsi" w:eastAsia="Times New Roman" w:hAnsiTheme="minorHAnsi" w:cstheme="minorHAnsi"/>
          <w:lang w:eastAsia="pl-PL"/>
        </w:rPr>
        <w:t>Wejherowska 45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42-202 Częstochowa, </w:t>
      </w:r>
      <w:r>
        <w:rPr>
          <w:rFonts w:asciiTheme="minorHAnsi" w:hAnsiTheme="minorHAnsi" w:cstheme="minorHAnsi"/>
        </w:rPr>
        <w:t>Za spełnienie kryterium "cena" Wykonawca uzyskał 36,72 punktów, za spełni</w:t>
      </w:r>
      <w:r>
        <w:rPr>
          <w:rFonts w:asciiTheme="minorHAnsi" w:hAnsiTheme="minorHAnsi" w:cstheme="minorHAnsi"/>
        </w:rPr>
        <w:t>enie kryterium „liczba gwiazdek posiadanych przez hotel” Wykonawca uzyskał 0 punktów, za spełnienie kryterium "m</w:t>
      </w:r>
      <w:r>
        <w:rPr>
          <w:rFonts w:asciiTheme="minorHAnsi" w:hAnsiTheme="minorHAnsi" w:cstheme="minorHAnsi"/>
          <w:u w:color="000000"/>
        </w:rPr>
        <w:t>ożliwość wcześniejszego zameldowania</w:t>
      </w:r>
      <w:r>
        <w:rPr>
          <w:rFonts w:asciiTheme="minorHAnsi" w:hAnsiTheme="minorHAnsi" w:cstheme="minorHAnsi"/>
        </w:rPr>
        <w:t>" Wykonawca uzyskał 0 punktów. Po zastosowaniu wzoru z rozdziału XI SWZ Wykonawca łącznie uzyskał 36,72 punk</w:t>
      </w:r>
      <w:r>
        <w:rPr>
          <w:rFonts w:asciiTheme="minorHAnsi" w:hAnsiTheme="minorHAnsi" w:cstheme="minorHAnsi"/>
        </w:rPr>
        <w:t>tów.</w:t>
      </w:r>
      <w:bookmarkEnd w:id="7"/>
    </w:p>
    <w:p w14:paraId="6BB9523A" w14:textId="77777777" w:rsidR="005C1020" w:rsidRDefault="005C1020">
      <w:pPr>
        <w:pStyle w:val="Standard"/>
        <w:spacing w:line="276" w:lineRule="auto"/>
        <w:ind w:left="720"/>
        <w:jc w:val="both"/>
        <w:rPr>
          <w:rFonts w:asciiTheme="minorHAnsi" w:eastAsia="F" w:hAnsiTheme="minorHAnsi" w:cstheme="minorHAnsi"/>
        </w:rPr>
      </w:pPr>
    </w:p>
    <w:p w14:paraId="3F946E29" w14:textId="77777777" w:rsidR="005C1020" w:rsidRDefault="005C1020">
      <w:pPr>
        <w:pStyle w:val="Standard"/>
        <w:spacing w:line="276" w:lineRule="auto"/>
        <w:jc w:val="both"/>
        <w:rPr>
          <w:rFonts w:asciiTheme="minorHAnsi" w:eastAsia="F" w:hAnsiTheme="minorHAnsi" w:cstheme="minorHAnsi"/>
        </w:rPr>
      </w:pPr>
    </w:p>
    <w:p w14:paraId="3C52F4BC" w14:textId="1873FDC3" w:rsidR="005C1020" w:rsidRDefault="008A2B48">
      <w:pPr>
        <w:pStyle w:val="Akapitzlist"/>
        <w:tabs>
          <w:tab w:val="left" w:pos="284"/>
        </w:tabs>
        <w:spacing w:before="114" w:after="114" w:line="276" w:lineRule="auto"/>
        <w:ind w:left="0"/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83A1F8" w14:textId="77777777" w:rsidR="005C1020" w:rsidRDefault="008A2B48" w:rsidP="00D85CB9">
      <w:pPr>
        <w:rPr>
          <w:rFonts w:asciiTheme="minorHAnsi" w:hAnsiTheme="minorHAnsi" w:cstheme="minorHAns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</w:p>
    <w:sectPr w:rsidR="005C1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709" w:left="1418" w:header="709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B64DE" w14:textId="77777777" w:rsidR="003D7051" w:rsidRDefault="003D7051">
      <w:r>
        <w:separator/>
      </w:r>
    </w:p>
  </w:endnote>
  <w:endnote w:type="continuationSeparator" w:id="0">
    <w:p w14:paraId="7DCC9AE3" w14:textId="77777777" w:rsidR="003D7051" w:rsidRDefault="003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476D" w14:textId="77777777" w:rsidR="005C1020" w:rsidRDefault="005C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73A8" w14:textId="77777777" w:rsidR="005C1020" w:rsidRDefault="005C1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F9D2" w14:textId="77777777" w:rsidR="005C1020" w:rsidRDefault="005C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F5A3" w14:textId="77777777" w:rsidR="003D7051" w:rsidRDefault="003D7051">
      <w:r>
        <w:separator/>
      </w:r>
    </w:p>
  </w:footnote>
  <w:footnote w:type="continuationSeparator" w:id="0">
    <w:p w14:paraId="34235C54" w14:textId="77777777" w:rsidR="003D7051" w:rsidRDefault="003D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E53A" w14:textId="77777777" w:rsidR="005C1020" w:rsidRDefault="005C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5A72" w14:textId="77777777" w:rsidR="005C1020" w:rsidRDefault="008A2B48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 wp14:anchorId="4F5C383F" wp14:editId="1FE6AC2B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568950" cy="752475"/>
          <wp:effectExtent l="0" t="0" r="0" b="0"/>
          <wp:wrapNone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7684" w14:textId="77777777" w:rsidR="005C1020" w:rsidRDefault="008A2B48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6F67BAF2" wp14:editId="797BC122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568950" cy="752475"/>
          <wp:effectExtent l="0" t="0" r="0" b="0"/>
          <wp:wrapNone/>
          <wp:docPr id="2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CD6"/>
    <w:multiLevelType w:val="multilevel"/>
    <w:tmpl w:val="4B184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A2006"/>
    <w:multiLevelType w:val="multilevel"/>
    <w:tmpl w:val="62025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NSimSu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E57798-F8EC-4835-851E-CDDA861C0A5F}"/>
  </w:docVars>
  <w:rsids>
    <w:rsidRoot w:val="005C1020"/>
    <w:rsid w:val="002907F5"/>
    <w:rsid w:val="0031668F"/>
    <w:rsid w:val="003D7051"/>
    <w:rsid w:val="005C1020"/>
    <w:rsid w:val="0081052A"/>
    <w:rsid w:val="008A2B48"/>
    <w:rsid w:val="00994CF2"/>
    <w:rsid w:val="00A609A8"/>
    <w:rsid w:val="00A72D1B"/>
    <w:rsid w:val="00D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6B2D"/>
  <w15:docId w15:val="{DEF98AEF-2A32-490A-9471-DFF593C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3A3C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Tekstrdowy">
    <w:name w:val="Tekst źródłowy"/>
    <w:qFormat/>
    <w:rsid w:val="00F93A3C"/>
    <w:rPr>
      <w:rFonts w:ascii="Liberation Mono" w:eastAsia="NSimSun" w:hAnsi="Liberation Mono" w:cs="Liberation Mono"/>
    </w:rPr>
  </w:style>
  <w:style w:type="character" w:customStyle="1" w:styleId="Uwydatnienie1">
    <w:name w:val="Uwydatnienie1"/>
    <w:qFormat/>
    <w:rPr>
      <w:i/>
      <w:iCs/>
    </w:rPr>
  </w:style>
  <w:style w:type="character" w:customStyle="1" w:styleId="markedcontent">
    <w:name w:val="markedcontent"/>
    <w:basedOn w:val="Domylnaczcionkaakapitu"/>
    <w:qFormat/>
    <w:rsid w:val="002B71DD"/>
  </w:style>
  <w:style w:type="character" w:styleId="Pogrubienie">
    <w:name w:val="Strong"/>
    <w:qFormat/>
    <w:rsid w:val="00B438E5"/>
    <w:rPr>
      <w:b/>
      <w:bCs/>
    </w:rPr>
  </w:style>
  <w:style w:type="character" w:customStyle="1" w:styleId="TekstdymkaZnak">
    <w:name w:val="Tekst dymka Znak"/>
    <w:qFormat/>
    <w:rsid w:val="00B438E5"/>
    <w:rPr>
      <w:rFonts w:ascii="Segoe UI" w:hAnsi="Segoe UI" w:cs="Segoe UI"/>
      <w:sz w:val="18"/>
      <w:szCs w:val="18"/>
      <w:lang w:eastAsia="zh-CN"/>
    </w:rPr>
  </w:style>
  <w:style w:type="character" w:customStyle="1" w:styleId="Domylnaczcionkaakapitu1">
    <w:name w:val="Domyślna czcionka akapitu1"/>
    <w:qFormat/>
    <w:rsid w:val="009B7362"/>
  </w:style>
  <w:style w:type="paragraph" w:styleId="Nagwek">
    <w:name w:val="header"/>
    <w:basedOn w:val="Normalny"/>
    <w:next w:val="Tekstpodstawowy"/>
    <w:uiPriority w:val="99"/>
    <w:rsid w:val="006572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rsid w:val="006572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601FD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93A3C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qFormat/>
    <w:rsid w:val="00F93A3C"/>
    <w:pPr>
      <w:ind w:firstLine="1560"/>
    </w:pPr>
    <w:rPr>
      <w:sz w:val="28"/>
    </w:rPr>
  </w:style>
  <w:style w:type="paragraph" w:styleId="Bezodstpw">
    <w:name w:val="No Spacing"/>
    <w:uiPriority w:val="1"/>
    <w:qFormat/>
    <w:rsid w:val="00F93A3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3A3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idernamemargin">
    <w:name w:val="providernamemargin"/>
    <w:basedOn w:val="Normalny"/>
    <w:qFormat/>
    <w:rsid w:val="00A530CA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viderdata">
    <w:name w:val="providerdata"/>
    <w:basedOn w:val="Normalny"/>
    <w:qFormat/>
    <w:rsid w:val="00A530CA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0C3EEE"/>
    <w:pPr>
      <w:widowControl w:val="0"/>
      <w:jc w:val="both"/>
    </w:pPr>
    <w:rPr>
      <w:rFonts w:ascii="Calibri" w:eastAsia="Calibri" w:hAnsi="Calibri" w:cs="Calibri"/>
      <w:bCs/>
      <w:iCs/>
      <w:color w:val="FF0000"/>
      <w:kern w:val="2"/>
      <w:sz w:val="22"/>
      <w:szCs w:val="22"/>
    </w:rPr>
  </w:style>
  <w:style w:type="paragraph" w:customStyle="1" w:styleId="LO-Normal">
    <w:name w:val="LO-Normal"/>
    <w:basedOn w:val="Normalny"/>
    <w:qFormat/>
    <w:rsid w:val="00B438E5"/>
    <w:rPr>
      <w:rFonts w:eastAsia="Arial"/>
      <w:color w:val="000000"/>
      <w:sz w:val="24"/>
      <w:szCs w:val="24"/>
      <w:lang w:eastAsia="zh-CN" w:bidi="hi-IN"/>
    </w:rPr>
  </w:style>
  <w:style w:type="paragraph" w:customStyle="1" w:styleId="Nagwek3">
    <w:name w:val="Nagłówek3"/>
    <w:basedOn w:val="Normalny"/>
    <w:next w:val="Tekstpodstawowy"/>
    <w:qFormat/>
    <w:rsid w:val="00B438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qFormat/>
    <w:rsid w:val="009B7362"/>
    <w:pPr>
      <w:suppressAutoHyphens w:val="0"/>
    </w:pPr>
    <w:rPr>
      <w:color w:val="000000"/>
      <w:sz w:val="24"/>
      <w:szCs w:val="24"/>
    </w:rPr>
  </w:style>
  <w:style w:type="paragraph" w:customStyle="1" w:styleId="Normalny2">
    <w:name w:val="Normalny2"/>
    <w:qFormat/>
    <w:rsid w:val="009B7362"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table" w:styleId="Tabela-Siatka">
    <w:name w:val="Table Grid"/>
    <w:basedOn w:val="Standardowy"/>
    <w:rsid w:val="00B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7798-F8EC-4835-851E-CDDA861C0A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C4F681-4DDE-4BC2-849B-3559989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3858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Dawidowski</dc:creator>
  <dc:description/>
  <cp:lastModifiedBy>WOM</cp:lastModifiedBy>
  <cp:revision>2</cp:revision>
  <cp:lastPrinted>2025-05-14T10:03:00Z</cp:lastPrinted>
  <dcterms:created xsi:type="dcterms:W3CDTF">2025-05-16T09:07:00Z</dcterms:created>
  <dcterms:modified xsi:type="dcterms:W3CDTF">2025-05-16T09:07:00Z</dcterms:modified>
  <dc:language>pl-PL</dc:language>
</cp:coreProperties>
</file>